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377" w:rsidRDefault="00CE313A">
      <w:pPr>
        <w:pStyle w:val="10"/>
        <w:keepNext/>
        <w:keepLines/>
        <w:shd w:val="clear" w:color="auto" w:fill="auto"/>
        <w:spacing w:line="240" w:lineRule="auto"/>
        <w:rPr>
          <w:bCs w:val="0"/>
          <w:sz w:val="26"/>
          <w:szCs w:val="26"/>
        </w:rPr>
      </w:pPr>
      <w:bookmarkStart w:id="0" w:name="_GoBack"/>
      <w:bookmarkEnd w:id="0"/>
      <w:r>
        <w:rPr>
          <w:bCs w:val="0"/>
          <w:sz w:val="26"/>
          <w:szCs w:val="26"/>
        </w:rPr>
        <w:t>ПАМЯТКА</w:t>
      </w:r>
    </w:p>
    <w:p w:rsidR="00494377" w:rsidRDefault="00CE313A">
      <w:pPr>
        <w:pStyle w:val="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для лиц, производящих работы в охранных зонах </w:t>
      </w:r>
      <w:r>
        <w:rPr>
          <w:sz w:val="26"/>
          <w:szCs w:val="26"/>
        </w:rPr>
        <w:br/>
        <w:t>воздушных линий электропередачи</w:t>
      </w:r>
    </w:p>
    <w:p w:rsidR="00494377" w:rsidRDefault="00CE313A">
      <w:pPr>
        <w:pStyle w:val="2"/>
        <w:shd w:val="clear" w:color="auto" w:fill="auto"/>
        <w:spacing w:line="276" w:lineRule="auto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При проведении сельскохозяйственных, строительных, дорожно-ремонтных и иных работ  возникает необходимость выполнять работы в </w:t>
      </w:r>
      <w:r>
        <w:rPr>
          <w:b/>
          <w:sz w:val="26"/>
          <w:szCs w:val="26"/>
          <w:u w:val="single"/>
        </w:rPr>
        <w:t>охранных зонах линий электропередачи</w:t>
      </w:r>
      <w:r>
        <w:rPr>
          <w:sz w:val="26"/>
          <w:szCs w:val="26"/>
        </w:rPr>
        <w:t xml:space="preserve">. </w:t>
      </w:r>
    </w:p>
    <w:p w:rsidR="00494377" w:rsidRDefault="00CE313A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Охранная зона ВЛ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это зона вдоль ВЛ в виде земельного участка и воздушного про</w:t>
      </w:r>
      <w:r>
        <w:rPr>
          <w:sz w:val="26"/>
          <w:szCs w:val="26"/>
        </w:rPr>
        <w:softHyphen/>
        <w:t xml:space="preserve">странства, </w:t>
      </w:r>
      <w:r>
        <w:rPr>
          <w:sz w:val="26"/>
          <w:szCs w:val="26"/>
        </w:rPr>
        <w:t>ограниченная вертикальными плоскостями, отстоящи</w:t>
      </w:r>
      <w:r>
        <w:rPr>
          <w:sz w:val="26"/>
          <w:szCs w:val="26"/>
        </w:rPr>
        <w:softHyphen/>
        <w:t>ми по обе стороны линий от крайних проводов при неотклонен</w:t>
      </w:r>
      <w:r>
        <w:rPr>
          <w:sz w:val="26"/>
          <w:szCs w:val="26"/>
        </w:rPr>
        <w:softHyphen/>
        <w:t xml:space="preserve">ном их положении на расстоянии </w:t>
      </w:r>
      <w:r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 xml:space="preserve"> в зависимости от номинального напряжения линии: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6562"/>
        <w:gridCol w:w="1637"/>
        <w:gridCol w:w="1372"/>
      </w:tblGrid>
      <w:tr w:rsidR="00494377">
        <w:trPr>
          <w:trHeight w:val="431"/>
        </w:trPr>
        <w:tc>
          <w:tcPr>
            <w:tcW w:w="656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  <w:p w:rsidR="00494377" w:rsidRDefault="00CE313A">
            <w:pPr>
              <w:widowControl w:val="0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952C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6720" w:dyaOrig="3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16.5pt;height:176.25pt;visibility:visible;mso-wrap-distance-right:0" o:ole="">
                  <v:imagedata r:id="rId5" o:title=""/>
                </v:shape>
                <o:OLEObject Type="Embed" ProgID="PBrush" ShapeID="ole_rId2" DrawAspect="Content" ObjectID="_1718624366" r:id="rId6"/>
              </w:objec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</w:pPr>
            <w:r>
              <w:t>Номинальное напряжение ВЛ, кВ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</w:pPr>
            <w:r>
              <w:t xml:space="preserve">Расстояние </w:t>
            </w:r>
            <w:r>
              <w:rPr>
                <w:lang w:val="en-US"/>
              </w:rPr>
              <w:t>L</w:t>
            </w:r>
            <w:r>
              <w:t>, ме</w:t>
            </w:r>
            <w:r>
              <w:t>тры.</w:t>
            </w:r>
          </w:p>
        </w:tc>
      </w:tr>
      <w:tr w:rsidR="00494377">
        <w:trPr>
          <w:trHeight w:val="491"/>
        </w:trPr>
        <w:tc>
          <w:tcPr>
            <w:tcW w:w="6562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До 1 кВ.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 м.</w:t>
            </w:r>
          </w:p>
        </w:tc>
      </w:tr>
      <w:tr w:rsidR="00494377">
        <w:trPr>
          <w:trHeight w:val="527"/>
        </w:trPr>
        <w:tc>
          <w:tcPr>
            <w:tcW w:w="6562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6-10 кВ.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 м.</w:t>
            </w:r>
          </w:p>
        </w:tc>
      </w:tr>
      <w:tr w:rsidR="00494377">
        <w:trPr>
          <w:trHeight w:val="510"/>
        </w:trPr>
        <w:tc>
          <w:tcPr>
            <w:tcW w:w="6562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35 кВ.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 м.</w:t>
            </w:r>
          </w:p>
        </w:tc>
      </w:tr>
      <w:tr w:rsidR="00494377">
        <w:trPr>
          <w:trHeight w:val="521"/>
        </w:trPr>
        <w:tc>
          <w:tcPr>
            <w:tcW w:w="6562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110 кВ.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 м.</w:t>
            </w:r>
          </w:p>
        </w:tc>
      </w:tr>
      <w:tr w:rsidR="00494377">
        <w:trPr>
          <w:trHeight w:val="530"/>
        </w:trPr>
        <w:tc>
          <w:tcPr>
            <w:tcW w:w="6562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220 кВ.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25 м.</w:t>
            </w:r>
          </w:p>
        </w:tc>
      </w:tr>
      <w:tr w:rsidR="00494377">
        <w:trPr>
          <w:trHeight w:val="526"/>
        </w:trPr>
        <w:tc>
          <w:tcPr>
            <w:tcW w:w="6562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330 кВ.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 м.</w:t>
            </w:r>
          </w:p>
        </w:tc>
      </w:tr>
      <w:tr w:rsidR="00494377">
        <w:trPr>
          <w:trHeight w:val="523"/>
        </w:trPr>
        <w:tc>
          <w:tcPr>
            <w:tcW w:w="6562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750 кВ.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40 м.</w:t>
            </w:r>
          </w:p>
        </w:tc>
      </w:tr>
    </w:tbl>
    <w:p w:rsidR="00494377" w:rsidRDefault="00494377">
      <w:pPr>
        <w:pStyle w:val="Pa67"/>
        <w:spacing w:before="40" w:after="20"/>
        <w:jc w:val="center"/>
        <w:rPr>
          <w:b/>
          <w:bCs/>
          <w:color w:val="FF0000"/>
          <w:sz w:val="26"/>
          <w:szCs w:val="26"/>
          <w:u w:val="single"/>
        </w:rPr>
      </w:pPr>
    </w:p>
    <w:p w:rsidR="00494377" w:rsidRDefault="00CE313A">
      <w:pPr>
        <w:pStyle w:val="Pa67"/>
        <w:spacing w:before="40" w:after="20"/>
        <w:jc w:val="center"/>
        <w:rPr>
          <w:color w:val="FF0000"/>
          <w:sz w:val="26"/>
          <w:szCs w:val="26"/>
          <w:u w:val="single"/>
        </w:rPr>
      </w:pPr>
      <w:r>
        <w:rPr>
          <w:b/>
          <w:bCs/>
          <w:color w:val="FF0000"/>
          <w:sz w:val="26"/>
          <w:szCs w:val="26"/>
          <w:u w:val="single"/>
        </w:rPr>
        <w:t xml:space="preserve">Минимально допустимое расстояние до проводов ВЛ. </w:t>
      </w:r>
    </w:p>
    <w:tbl>
      <w:tblPr>
        <w:tblW w:w="10240" w:type="dxa"/>
        <w:tblLayout w:type="fixed"/>
        <w:tblLook w:val="01E0" w:firstRow="1" w:lastRow="1" w:firstColumn="1" w:lastColumn="1" w:noHBand="0" w:noVBand="0"/>
      </w:tblPr>
      <w:tblGrid>
        <w:gridCol w:w="4657"/>
        <w:gridCol w:w="1551"/>
        <w:gridCol w:w="1743"/>
        <w:gridCol w:w="2289"/>
      </w:tblGrid>
      <w:tr w:rsidR="00494377">
        <w:trPr>
          <w:trHeight w:val="399"/>
        </w:trPr>
        <w:tc>
          <w:tcPr>
            <w:tcW w:w="465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:rsidR="00494377" w:rsidRDefault="00CE313A">
            <w:pPr>
              <w:widowControl w:val="0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_x0000_tole_rId4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1E109" id="_x0000_tole_rId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p2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F7g6dlwCAACxBAAADgAAAAAAAAAAAAAAAAAuAgAAZHJzL2Uyb0RvYy54bWxQSwEC&#10;LQAUAAYACAAAACEAhluH1dgAAAAFAQAADwAAAAAAAAAAAAAAAAC2BAAAZHJzL2Rvd25yZXYueG1s&#10;UEsFBgAAAAAEAAQA8wAAALsFAAAA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4440" w:dyaOrig="4290">
                <v:shape id="ole_rId4" o:spid="_x0000_i1026" type="#_x0000_t75" style="width:222pt;height:214.5pt;visibility:visible;mso-wrap-distance-right:0" o:ole="">
                  <v:imagedata r:id="rId7" o:title=""/>
                </v:shape>
                <o:OLEObject Type="Embed" ProgID="PBrush" ShapeID="ole_rId4" DrawAspect="Content" ObjectID="_1718624367" r:id="rId8"/>
              </w:objec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5"/>
              <w:widowControl w:val="0"/>
              <w:spacing w:before="40"/>
              <w:jc w:val="center"/>
            </w:pPr>
            <w:r>
              <w:t>Напряжение, кВ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5"/>
              <w:widowControl w:val="0"/>
              <w:spacing w:before="40"/>
              <w:jc w:val="center"/>
            </w:pPr>
            <w:r>
              <w:t xml:space="preserve">Минимально допустимое расстояние от </w:t>
            </w:r>
            <w:r>
              <w:t>людей до провода ВЛ (метров).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5"/>
              <w:widowControl w:val="0"/>
              <w:spacing w:before="40"/>
              <w:jc w:val="center"/>
            </w:pPr>
            <w:r>
              <w:t>Минимально допустимое расстояние от механизмов и грузоподъемных машин в рабочем и транспортном положении до провода ВЛ (метров).</w:t>
            </w:r>
          </w:p>
        </w:tc>
      </w:tr>
      <w:tr w:rsidR="00494377">
        <w:trPr>
          <w:trHeight w:val="400"/>
        </w:trPr>
        <w:tc>
          <w:tcPr>
            <w:tcW w:w="465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9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 1: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0,6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</w:tr>
      <w:tr w:rsidR="00494377">
        <w:trPr>
          <w:trHeight w:val="329"/>
        </w:trPr>
        <w:tc>
          <w:tcPr>
            <w:tcW w:w="465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3–35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0,6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</w:tr>
      <w:tr w:rsidR="00494377">
        <w:trPr>
          <w:trHeight w:val="350"/>
        </w:trPr>
        <w:tc>
          <w:tcPr>
            <w:tcW w:w="465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1,5</w:t>
            </w:r>
          </w:p>
        </w:tc>
      </w:tr>
      <w:tr w:rsidR="00494377">
        <w:trPr>
          <w:trHeight w:val="333"/>
        </w:trPr>
        <w:tc>
          <w:tcPr>
            <w:tcW w:w="465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2,0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2,5</w:t>
            </w:r>
          </w:p>
        </w:tc>
      </w:tr>
      <w:tr w:rsidR="00494377">
        <w:trPr>
          <w:trHeight w:val="331"/>
        </w:trPr>
        <w:tc>
          <w:tcPr>
            <w:tcW w:w="465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3,5</w:t>
            </w:r>
          </w:p>
        </w:tc>
      </w:tr>
      <w:tr w:rsidR="00494377">
        <w:trPr>
          <w:trHeight w:val="341"/>
        </w:trPr>
        <w:tc>
          <w:tcPr>
            <w:tcW w:w="465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750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5,0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377" w:rsidRDefault="00CE313A">
            <w:pPr>
              <w:pStyle w:val="Pa43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6,0</w:t>
            </w:r>
          </w:p>
        </w:tc>
      </w:tr>
      <w:tr w:rsidR="00494377">
        <w:trPr>
          <w:trHeight w:val="157"/>
        </w:trPr>
        <w:tc>
          <w:tcPr>
            <w:tcW w:w="465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4377" w:rsidRDefault="00494377">
            <w:pPr>
              <w:pStyle w:val="Pa43"/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4377" w:rsidRDefault="00494377">
            <w:pPr>
              <w:pStyle w:val="Pa43"/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4377" w:rsidRDefault="00494377">
            <w:pPr>
              <w:pStyle w:val="Pa43"/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94377">
        <w:trPr>
          <w:trHeight w:val="181"/>
        </w:trPr>
        <w:tc>
          <w:tcPr>
            <w:tcW w:w="4656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94377" w:rsidRDefault="00494377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4377" w:rsidRDefault="00494377">
            <w:pPr>
              <w:pStyle w:val="Pa43"/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4377" w:rsidRDefault="00494377">
            <w:pPr>
              <w:pStyle w:val="Pa43"/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94377" w:rsidRDefault="00494377">
            <w:pPr>
              <w:pStyle w:val="Pa43"/>
              <w:widowControl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«Правилами охраны электрических сетей напряжением выше 1000В» предусмотрена обязательность получения разрешений на производство ряда работ вблизи электрических сетей. Такой порядок установлен с целью предотвращения возможности повреждения </w:t>
      </w:r>
      <w:r>
        <w:rPr>
          <w:sz w:val="26"/>
          <w:szCs w:val="26"/>
        </w:rPr>
        <w:t>электрических сетей, но главное - преследует цель исключить нанесение ущерба здоровью и жизни людей, занятых этими работами.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Несоблюдение правил работы в охранных зонах линий электропередач может привести к несчастным случаям.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В охранных зонах лини</w:t>
      </w:r>
      <w:r>
        <w:rPr>
          <w:sz w:val="26"/>
          <w:szCs w:val="26"/>
        </w:rPr>
        <w:t>й электропередачи без письменного согласия их владельца запрещается: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производить строительство, капитальный ремонт, реконструкцию или снос любых зданий и сооружений;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осуществлять погрузочно-разгрузочные, мелиоративные работы, производить посадку и выру</w:t>
      </w:r>
      <w:r>
        <w:rPr>
          <w:sz w:val="26"/>
          <w:szCs w:val="26"/>
        </w:rPr>
        <w:t>бку деревьев и кустарников, располагать полевые станы, устраивать загоны для скота, сооружать проволочные ограждения, а также производить полив сельскохозяйственных культур;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совершать проезд машин и механизмов, имеющих общую высоту с грузом или без груза</w:t>
      </w:r>
      <w:r>
        <w:rPr>
          <w:sz w:val="26"/>
          <w:szCs w:val="26"/>
        </w:rPr>
        <w:t xml:space="preserve"> от поверхности дороги более 4,5 м (в охранных зонах воздушных линий).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При нарушениях вышеуказанных правил, повлекших за собой несчастные случаи с людьми, пожары, перерывы в электроснабжении, материальный ущерб, виновные могут быть привлечены в зависим</w:t>
      </w:r>
      <w:r>
        <w:rPr>
          <w:sz w:val="26"/>
          <w:szCs w:val="26"/>
        </w:rPr>
        <w:t>ости от последствий к административной или уголовной ответственности.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Во избежание несчастных случаев с людьми, занятыми на сельскохозяйственных, строительных, дорожно-ремонтных работах в охранных зонах линий электропередачи, организаторам работ следует</w:t>
      </w:r>
      <w:r>
        <w:rPr>
          <w:sz w:val="26"/>
          <w:szCs w:val="26"/>
        </w:rPr>
        <w:t xml:space="preserve"> организовать проведение инструктажей работающим по безопасному ведению работ, обучить приемам освобождения пострадавших от электрического тока и оказания первой помощи, разработать маршруты передвижения с одного участка на другой высокогабаритной техники,</w:t>
      </w:r>
      <w:r>
        <w:rPr>
          <w:sz w:val="26"/>
          <w:szCs w:val="26"/>
        </w:rPr>
        <w:t xml:space="preserve"> исключив или обезопасив ее проезд в пролетах воздушных линий электропередачи 10 кВ и выше, запрещается складирование продукции сельскохозяйственного назначения и материалов в охранных зонах воздушных линий электропередачи.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При работе сельскохозяйствен</w:t>
      </w:r>
      <w:r>
        <w:rPr>
          <w:sz w:val="26"/>
          <w:szCs w:val="26"/>
        </w:rPr>
        <w:t>ных машин в охранных зонах воздушных линий электропередачи запрещается: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находиться обслуживающему персоналу на машине вне кабины или защитного козырька;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ремонтно-профилактические работы на машине;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работать во время грозы или при приближении</w:t>
      </w:r>
      <w:r>
        <w:rPr>
          <w:sz w:val="26"/>
          <w:szCs w:val="26"/>
        </w:rPr>
        <w:t xml:space="preserve"> грозы;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работать в пролетах воздушных линий, имеющих оборванные провода, а также приближаться к опорам, имеющим оборванные провода, и к оборванным проводам, лежащим на земле, на расстояние менее 8 м;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приближаться к дереву, лежащему на проводах на расст</w:t>
      </w:r>
      <w:r>
        <w:rPr>
          <w:sz w:val="26"/>
          <w:szCs w:val="26"/>
        </w:rPr>
        <w:t>ояние менее 8 м;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- работать на высокогабаритных машинах под проводами воздушных линий, на участках, имеющих резко неровный рельеф, а также наезжать на бугры высотой более 1 м.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Движение машин и механизмов при работах на участках, расположенных в охранн</w:t>
      </w:r>
      <w:r>
        <w:rPr>
          <w:sz w:val="26"/>
          <w:szCs w:val="26"/>
        </w:rPr>
        <w:t>ой зоне, рекомендуется осуществлять поперек оси воздушной линии. Проезд по проселочным дорогам и вне дорог следует проводить вблизи опор и поперек оси воздушной линии. При высоте машины и механизма в транспортном положении более 4,5 м проезд их под провода</w:t>
      </w:r>
      <w:r>
        <w:rPr>
          <w:sz w:val="26"/>
          <w:szCs w:val="26"/>
        </w:rPr>
        <w:t>ми должен быть согласован в каждом конкретном случае с владельцем воздушной линии.</w:t>
      </w:r>
    </w:p>
    <w:p w:rsidR="00494377" w:rsidRDefault="00CE313A">
      <w:pPr>
        <w:pStyle w:val="ab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Работы в охранной зоне с применением высокогабаритных машин должны выполняться двумя лицами, одно из которых назначается наблюдающим.</w:t>
      </w:r>
    </w:p>
    <w:p w:rsidR="00494377" w:rsidRDefault="00494377">
      <w:pPr>
        <w:pStyle w:val="ab"/>
        <w:spacing w:before="0" w:after="0"/>
        <w:jc w:val="center"/>
        <w:rPr>
          <w:b/>
          <w:sz w:val="26"/>
          <w:szCs w:val="26"/>
        </w:rPr>
      </w:pPr>
    </w:p>
    <w:p w:rsidR="00494377" w:rsidRDefault="00CE313A">
      <w:pPr>
        <w:pStyle w:val="ab"/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Уважаемые руководители, </w:t>
      </w:r>
      <w:r>
        <w:rPr>
          <w:b/>
          <w:sz w:val="26"/>
          <w:szCs w:val="26"/>
        </w:rPr>
        <w:t>специалисты и водители автомобилей и спецмеханизмов не забывайте о том, что электрический ток может быть смертельно опасен для жизни.</w:t>
      </w:r>
    </w:p>
    <w:p w:rsidR="00494377" w:rsidRDefault="00494377">
      <w:pPr>
        <w:pStyle w:val="ab"/>
        <w:spacing w:before="0" w:after="0"/>
        <w:jc w:val="center"/>
        <w:rPr>
          <w:b/>
          <w:sz w:val="26"/>
          <w:szCs w:val="26"/>
        </w:rPr>
      </w:pPr>
    </w:p>
    <w:p w:rsidR="00494377" w:rsidRDefault="00CE313A">
      <w:pPr>
        <w:pStyle w:val="ab"/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Будьте внимательны! Помните, Вас ждут дома!</w:t>
      </w:r>
    </w:p>
    <w:tbl>
      <w:tblPr>
        <w:tblW w:w="14543" w:type="dxa"/>
        <w:tblLayout w:type="fixed"/>
        <w:tblLook w:val="04A0" w:firstRow="1" w:lastRow="0" w:firstColumn="1" w:lastColumn="0" w:noHBand="0" w:noVBand="1"/>
      </w:tblPr>
      <w:tblGrid>
        <w:gridCol w:w="9747"/>
        <w:gridCol w:w="4796"/>
      </w:tblGrid>
      <w:tr w:rsidR="00494377">
        <w:tc>
          <w:tcPr>
            <w:tcW w:w="9746" w:type="dxa"/>
          </w:tcPr>
          <w:p w:rsidR="00494377" w:rsidRDefault="00494377">
            <w:pPr>
              <w:widowControl w:val="0"/>
              <w:contextualSpacing/>
              <w:rPr>
                <w:b/>
                <w:sz w:val="26"/>
                <w:szCs w:val="26"/>
              </w:rPr>
            </w:pPr>
          </w:p>
          <w:p w:rsidR="00494377" w:rsidRDefault="00CE313A">
            <w:pPr>
              <w:widowControl w:val="0"/>
              <w:contextualSpacing/>
              <w:jc w:val="center"/>
              <w:rPr>
                <w:sz w:val="30"/>
                <w:szCs w:val="30"/>
              </w:rPr>
            </w:pPr>
            <w:r>
              <w:rPr>
                <w:b/>
                <w:sz w:val="26"/>
                <w:szCs w:val="26"/>
              </w:rPr>
              <w:t>Госэнергогазнадзор</w:t>
            </w:r>
          </w:p>
        </w:tc>
        <w:tc>
          <w:tcPr>
            <w:tcW w:w="4796" w:type="dxa"/>
          </w:tcPr>
          <w:p w:rsidR="00494377" w:rsidRDefault="00494377">
            <w:pPr>
              <w:widowControl w:val="0"/>
              <w:tabs>
                <w:tab w:val="left" w:pos="2133"/>
              </w:tabs>
              <w:ind w:left="-249" w:firstLine="249"/>
              <w:jc w:val="right"/>
              <w:rPr>
                <w:sz w:val="30"/>
                <w:szCs w:val="30"/>
              </w:rPr>
            </w:pPr>
          </w:p>
        </w:tc>
      </w:tr>
    </w:tbl>
    <w:p w:rsidR="00494377" w:rsidRDefault="00494377"/>
    <w:sectPr w:rsidR="00494377">
      <w:pgSz w:w="11906" w:h="16838"/>
      <w:pgMar w:top="284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77"/>
    <w:rsid w:val="00494377"/>
    <w:rsid w:val="00C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941F9-18BC-4DC2-BF55-A3C9601A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44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sid w:val="00D74440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qFormat/>
    <w:rsid w:val="00D74440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643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  <w:lang/>
    </w:rPr>
  </w:style>
  <w:style w:type="paragraph" w:styleId="ab">
    <w:name w:val="Normal (Web)"/>
    <w:basedOn w:val="a"/>
    <w:uiPriority w:val="99"/>
    <w:qFormat/>
    <w:rsid w:val="00D74440"/>
    <w:pPr>
      <w:spacing w:before="280" w:after="280"/>
    </w:pPr>
  </w:style>
  <w:style w:type="paragraph" w:customStyle="1" w:styleId="10">
    <w:name w:val="Заголовок №1"/>
    <w:basedOn w:val="a"/>
    <w:link w:val="1"/>
    <w:qFormat/>
    <w:rsid w:val="00D74440"/>
    <w:pPr>
      <w:widowControl w:val="0"/>
      <w:shd w:val="clear" w:color="auto" w:fill="FFFFFF"/>
      <w:suppressAutoHyphens w:val="0"/>
      <w:spacing w:line="298" w:lineRule="exact"/>
      <w:jc w:val="center"/>
      <w:outlineLvl w:val="0"/>
    </w:pPr>
    <w:rPr>
      <w:rFonts w:cstheme="minorBidi"/>
      <w:b/>
      <w:bCs/>
      <w:sz w:val="23"/>
      <w:szCs w:val="23"/>
      <w:lang w:eastAsia="en-US"/>
    </w:rPr>
  </w:style>
  <w:style w:type="paragraph" w:customStyle="1" w:styleId="2">
    <w:name w:val="Основной текст2"/>
    <w:basedOn w:val="a"/>
    <w:link w:val="a3"/>
    <w:qFormat/>
    <w:rsid w:val="00D74440"/>
    <w:pPr>
      <w:widowControl w:val="0"/>
      <w:shd w:val="clear" w:color="auto" w:fill="FFFFFF"/>
      <w:suppressAutoHyphens w:val="0"/>
      <w:spacing w:line="274" w:lineRule="exact"/>
      <w:ind w:hanging="420"/>
      <w:jc w:val="both"/>
    </w:pPr>
    <w:rPr>
      <w:rFonts w:cstheme="minorBidi"/>
      <w:sz w:val="23"/>
      <w:szCs w:val="23"/>
      <w:lang w:eastAsia="en-US"/>
    </w:rPr>
  </w:style>
  <w:style w:type="paragraph" w:customStyle="1" w:styleId="Pa67">
    <w:name w:val="Pa67"/>
    <w:basedOn w:val="a"/>
    <w:next w:val="a"/>
    <w:uiPriority w:val="99"/>
    <w:qFormat/>
    <w:rsid w:val="00D74440"/>
    <w:pPr>
      <w:suppressAutoHyphens w:val="0"/>
      <w:spacing w:line="201" w:lineRule="atLeast"/>
    </w:pPr>
    <w:rPr>
      <w:lang w:eastAsia="ru-RU"/>
    </w:rPr>
  </w:style>
  <w:style w:type="paragraph" w:customStyle="1" w:styleId="Pa45">
    <w:name w:val="Pa45"/>
    <w:basedOn w:val="a"/>
    <w:next w:val="a"/>
    <w:uiPriority w:val="99"/>
    <w:qFormat/>
    <w:rsid w:val="00D74440"/>
    <w:pPr>
      <w:suppressAutoHyphens w:val="0"/>
      <w:spacing w:line="161" w:lineRule="atLeast"/>
    </w:pPr>
    <w:rPr>
      <w:lang w:eastAsia="ru-RU"/>
    </w:rPr>
  </w:style>
  <w:style w:type="paragraph" w:customStyle="1" w:styleId="Pa49">
    <w:name w:val="Pa49"/>
    <w:basedOn w:val="a"/>
    <w:next w:val="a"/>
    <w:uiPriority w:val="99"/>
    <w:qFormat/>
    <w:rsid w:val="00D74440"/>
    <w:pPr>
      <w:suppressAutoHyphens w:val="0"/>
      <w:spacing w:line="161" w:lineRule="atLeast"/>
    </w:pPr>
    <w:rPr>
      <w:lang w:eastAsia="ru-RU"/>
    </w:rPr>
  </w:style>
  <w:style w:type="paragraph" w:customStyle="1" w:styleId="Pa43">
    <w:name w:val="Pa43"/>
    <w:basedOn w:val="a"/>
    <w:next w:val="a"/>
    <w:uiPriority w:val="99"/>
    <w:qFormat/>
    <w:rsid w:val="00D74440"/>
    <w:pPr>
      <w:suppressAutoHyphens w:val="0"/>
      <w:spacing w:line="161" w:lineRule="atLeast"/>
    </w:pPr>
    <w:rPr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643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64AA-5E59-452C-BD77-8645913D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mike</cp:lastModifiedBy>
  <cp:revision>2</cp:revision>
  <cp:lastPrinted>2022-06-20T12:06:00Z</cp:lastPrinted>
  <dcterms:created xsi:type="dcterms:W3CDTF">2022-07-06T11:53:00Z</dcterms:created>
  <dcterms:modified xsi:type="dcterms:W3CDTF">2022-07-06T11:53:00Z</dcterms:modified>
  <dc:language>en-US</dc:language>
</cp:coreProperties>
</file>