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67"/>
        <w:gridCol w:w="4629"/>
      </w:tblGrid>
      <w:tr w:rsidR="00DC142C" w:rsidTr="00DC142C">
        <w:trPr>
          <w:trHeight w:val="847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C142C" w:rsidRDefault="00DC142C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ru-RU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CF9718D" wp14:editId="27B85B55">
                  <wp:extent cx="581025" cy="552450"/>
                  <wp:effectExtent l="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42C" w:rsidTr="00DC142C">
        <w:trPr>
          <w:trHeight w:hRule="exact" w:val="993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DC142C" w:rsidRDefault="00DC142C">
            <w:pPr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КНЯГІНІНСКІ</w:t>
            </w:r>
          </w:p>
          <w:p w:rsidR="00DC142C" w:rsidRDefault="00DC142C">
            <w:pPr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сельскі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выканаўчы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камiтэт</w:t>
            </w:r>
            <w:proofErr w:type="spellEnd"/>
          </w:p>
          <w:p w:rsidR="00DC142C" w:rsidRDefault="00DC142C">
            <w:pPr>
              <w:shd w:val="clear" w:color="auto" w:fill="FFFFFF"/>
              <w:tabs>
                <w:tab w:val="left" w:pos="0"/>
              </w:tabs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Мядзельскага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раёна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Мiнскай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вобласці</w:t>
            </w:r>
            <w:proofErr w:type="spellEnd"/>
          </w:p>
          <w:p w:rsidR="00DC142C" w:rsidRDefault="00DC142C">
            <w:pPr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42C" w:rsidRDefault="00DC142C">
            <w:pPr>
              <w:spacing w:after="0" w:line="252" w:lineRule="auto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DC142C" w:rsidRDefault="00DC142C">
            <w:pPr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ru-RU" w:eastAsia="ru-RU"/>
              </w:rPr>
              <w:t xml:space="preserve">КНЯГИНИНСКИЙ </w:t>
            </w:r>
          </w:p>
          <w:p w:rsidR="00DC142C" w:rsidRDefault="00DC142C">
            <w:pPr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сельский исполнительный комитет</w:t>
            </w:r>
          </w:p>
          <w:p w:rsidR="00DC142C" w:rsidRDefault="00DC142C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Мядельского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района Минской области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774"/>
              <w:gridCol w:w="1248"/>
              <w:gridCol w:w="4832"/>
            </w:tblGrid>
            <w:tr w:rsidR="00DC142C">
              <w:trPr>
                <w:trHeight w:hRule="exact" w:val="897"/>
              </w:trPr>
              <w:tc>
                <w:tcPr>
                  <w:tcW w:w="3774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48" w:type="dxa"/>
                </w:tcPr>
                <w:p w:rsidR="00DC142C" w:rsidRDefault="00DC142C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832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DC142C">
              <w:tc>
                <w:tcPr>
                  <w:tcW w:w="3774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48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832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4"/>
                      <w:lang w:val="ru-RU" w:eastAsia="ru-RU"/>
                    </w:rPr>
                  </w:pPr>
                </w:p>
              </w:tc>
            </w:tr>
            <w:tr w:rsidR="00DC142C">
              <w:tc>
                <w:tcPr>
                  <w:tcW w:w="3774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46"/>
                      <w:szCs w:val="24"/>
                      <w:lang w:val="ru-RU" w:eastAsia="ru-RU"/>
                    </w:rPr>
                  </w:pPr>
                </w:p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48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832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46"/>
                      <w:szCs w:val="24"/>
                      <w:lang w:val="ru-RU" w:eastAsia="ru-RU"/>
                    </w:rPr>
                  </w:pPr>
                </w:p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4"/>
                      <w:lang w:val="ru-RU" w:eastAsia="ru-RU"/>
                    </w:rPr>
                  </w:pPr>
                </w:p>
              </w:tc>
            </w:tr>
            <w:tr w:rsidR="00DC142C">
              <w:tc>
                <w:tcPr>
                  <w:tcW w:w="3774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48" w:type="dxa"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832" w:type="dxa"/>
                  <w:hideMark/>
                </w:tcPr>
                <w:p w:rsidR="00DC142C" w:rsidRDefault="00DC142C">
                  <w:pPr>
                    <w:spacing w:after="0" w:line="252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</w:tbl>
          <w:p w:rsidR="00DC142C" w:rsidRDefault="00DC142C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района Минской области</w:t>
            </w:r>
          </w:p>
          <w:p w:rsidR="00DC142C" w:rsidRDefault="00DC142C">
            <w:pPr>
              <w:shd w:val="clear" w:color="auto" w:fill="FFFFFF"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val="ru-RU" w:eastAsia="ru-RU"/>
              </w:rPr>
            </w:pPr>
          </w:p>
        </w:tc>
      </w:tr>
      <w:tr w:rsidR="00DC142C" w:rsidTr="00DC142C">
        <w:trPr>
          <w:trHeight w:hRule="exact" w:val="680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2C" w:rsidRDefault="00DC142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lang w:val="ru-RU" w:eastAsia="ru-RU"/>
              </w:rPr>
              <w:t>РАШЭННЕ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42C" w:rsidRDefault="00DC142C">
            <w:pPr>
              <w:spacing w:after="0" w:line="252" w:lineRule="auto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val="ru-RU" w:eastAsia="ru-RU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2C" w:rsidRDefault="00DC142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lang w:val="ru-RU" w:eastAsia="ru-RU"/>
              </w:rPr>
              <w:t>РЕШЕНИЕ</w:t>
            </w:r>
          </w:p>
        </w:tc>
      </w:tr>
      <w:tr w:rsidR="00DC142C" w:rsidTr="00DC142C">
        <w:trPr>
          <w:trHeight w:hRule="exact" w:val="587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2C" w:rsidRDefault="00DC142C">
            <w:pPr>
              <w:tabs>
                <w:tab w:val="center" w:pos="2089"/>
              </w:tabs>
              <w:spacing w:after="0" w:line="252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19 августа 2025 г. № 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42C" w:rsidRDefault="00DC142C">
            <w:pPr>
              <w:spacing w:after="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DC142C" w:rsidRDefault="00DC142C">
            <w:pPr>
              <w:spacing w:after="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C142C" w:rsidTr="00DC142C">
        <w:trPr>
          <w:trHeight w:hRule="exact" w:val="340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2C" w:rsidRDefault="00DC142C">
            <w:pPr>
              <w:spacing w:after="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Княгінін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142C" w:rsidRDefault="00DC142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2C" w:rsidRDefault="00DC142C">
            <w:pPr>
              <w:spacing w:after="0"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 Княгинин</w:t>
            </w:r>
          </w:p>
        </w:tc>
      </w:tr>
    </w:tbl>
    <w:p w:rsidR="00DC142C" w:rsidRDefault="00DC142C" w:rsidP="00DC142C">
      <w:pPr>
        <w:tabs>
          <w:tab w:val="left" w:pos="5529"/>
        </w:tabs>
        <w:spacing w:before="450" w:after="450" w:line="280" w:lineRule="exact"/>
        <w:ind w:right="3826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О наделении должностных лиц полномочиями на составление протоколов об административных правонарушениях и подготовку дел об административных правонарушениях к рассмотрению</w:t>
      </w:r>
    </w:p>
    <w:p w:rsidR="00DC142C" w:rsidRDefault="00DC142C" w:rsidP="00DC14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На основании статьи 3.29 Процессуально-исполнительного кодекса Республики Беларусь об административных правонарушениях Княгининский сельский исполнительный комитет РЕШИЛ:</w:t>
      </w:r>
    </w:p>
    <w:p w:rsidR="00DC142C" w:rsidRDefault="00DC142C" w:rsidP="00DC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1. Наделить полномочиями на составление протоколов об административных правонарушениях и подготовку дел об административных правонарушениях к рассмотрению, предусмотренных Кодексом Республики Беларусь об административных правонарушениях по статьям 10.4–10.10, 10.16, 10.21, 12.31, 13.5, 13.11, 13.12</w:t>
      </w:r>
      <w:r>
        <w:rPr>
          <w:rFonts w:ascii="Times New Roman" w:eastAsia="Times New Roman" w:hAnsi="Times New Roman"/>
          <w:sz w:val="30"/>
          <w:szCs w:val="30"/>
          <w:vertAlign w:val="superscript"/>
          <w:lang w:val="ru-RU" w:eastAsia="ru-RU"/>
        </w:rPr>
        <w:t xml:space="preserve">1 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, 16.25, 16.29, 16.30, 16.36, 16.38, 17.4, 19.9, 20.1-20.5, 20.7, 22.1-22.5, 22.7-22.11, частям 3–5 статьи 22.12, статье 24.16, части 2 статьи 24.26, части 1 статьи 24.47, статьям 24.48, 24.49, 24.55 председателя и управляющего делами Княгининского сельского исполнительного комитета.</w:t>
      </w:r>
    </w:p>
    <w:p w:rsidR="00DC142C" w:rsidRDefault="00DC142C" w:rsidP="00DC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2. Признать утратившим силу решение Княгининского сельского исполнительного комитета от 18 июля 2019 г. № 65 «О наделении должностных лиц полномочиями на составление протоколов об административных правонарушениях и подготовку дел об административных правонарушениях к рассмотрению».</w:t>
      </w:r>
    </w:p>
    <w:p w:rsidR="00DC142C" w:rsidRDefault="00DC142C" w:rsidP="00DC14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3. Настоящее решение вступает в силу после его официального опубликования.</w:t>
      </w:r>
    </w:p>
    <w:p w:rsidR="00DC142C" w:rsidRDefault="00DC142C" w:rsidP="00DC142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DC142C" w:rsidRDefault="00DC142C" w:rsidP="00DC142C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Председатель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val="ru-RU" w:eastAsia="ru-RU"/>
        </w:rPr>
        <w:t>О.С.Галко</w:t>
      </w:r>
      <w:proofErr w:type="spellEnd"/>
    </w:p>
    <w:p w:rsidR="00DC142C" w:rsidRDefault="00DC142C" w:rsidP="00DC142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DC142C" w:rsidRDefault="00DC142C" w:rsidP="00DC142C"/>
    <w:p w:rsidR="00446614" w:rsidRDefault="00446614">
      <w:bookmarkStart w:id="0" w:name="_GoBack"/>
      <w:bookmarkEnd w:id="0"/>
    </w:p>
    <w:sectPr w:rsidR="00446614" w:rsidSect="00DC14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C"/>
    <w:rsid w:val="00446614"/>
    <w:rsid w:val="00D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7F296-1F46-4084-8175-9C3A798E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42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2025-08-25T13:16:00Z</dcterms:created>
  <dcterms:modified xsi:type="dcterms:W3CDTF">2025-08-25T13:17:00Z</dcterms:modified>
</cp:coreProperties>
</file>